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napToGrid w:val="0"/>
          <w:color w:val="auto"/>
          <w:kern w:val="0"/>
          <w:sz w:val="24"/>
          <w:highlight w:val="none"/>
        </w:rPr>
      </w:pPr>
      <w:r>
        <w:rPr>
          <w:rFonts w:hint="eastAsia"/>
          <w:snapToGrid w:val="0"/>
          <w:color w:val="auto"/>
          <w:kern w:val="0"/>
          <w:sz w:val="24"/>
          <w:highlight w:val="none"/>
        </w:rPr>
        <w:t>（別紙１の２）</w:t>
      </w:r>
    </w:p>
    <w:p>
      <w:pPr>
        <w:pStyle w:val="0"/>
        <w:jc w:val="center"/>
        <w:rPr>
          <w:rFonts w:hint="default"/>
          <w:snapToGrid w:val="0"/>
          <w:color w:val="auto"/>
          <w:kern w:val="0"/>
          <w:sz w:val="24"/>
          <w:highlight w:val="none"/>
          <w:shd w:val="clear" w:color="auto" w:themeFill="background1" w:themeFillTint="FF" w:themeFillShade="FF"/>
        </w:rPr>
      </w:pPr>
    </w:p>
    <w:p>
      <w:pPr>
        <w:pStyle w:val="0"/>
        <w:jc w:val="center"/>
        <w:rPr>
          <w:rFonts w:hint="default"/>
          <w:snapToGrid w:val="0"/>
          <w:color w:val="auto"/>
          <w:kern w:val="0"/>
          <w:sz w:val="24"/>
          <w:highlight w:val="none"/>
          <w:shd w:val="clear" w:color="auto" w:themeFill="background1" w:themeFillTint="FF" w:themeFillShade="FF"/>
        </w:rPr>
      </w:pPr>
      <w:r>
        <w:rPr>
          <w:rFonts w:hint="eastAsia"/>
          <w:snapToGrid w:val="0"/>
          <w:color w:val="auto"/>
          <w:kern w:val="0"/>
          <w:sz w:val="24"/>
          <w:highlight w:val="none"/>
          <w:shd w:val="clear" w:color="auto" w:themeFill="background1" w:themeFillTint="FF" w:themeFillShade="FF"/>
        </w:rPr>
        <w:t>チェックリスト（自家消費型太陽光発電設備・蓄電池（事業用））</w:t>
      </w:r>
    </w:p>
    <w:p>
      <w:pPr>
        <w:pStyle w:val="0"/>
        <w:ind w:left="4620" w:leftChars="2200" w:firstLineChars="0"/>
        <w:jc w:val="both"/>
        <w:rPr>
          <w:rFonts w:hint="default"/>
          <w:snapToGrid w:val="0"/>
          <w:color w:val="auto"/>
          <w:kern w:val="0"/>
          <w:sz w:val="24"/>
          <w:highlight w:val="none"/>
          <w:u w:val="single" w:color="auto"/>
          <w:shd w:val="clear" w:color="auto" w:themeFill="background1" w:themeFillTint="FF" w:themeFillShade="FF"/>
        </w:rPr>
      </w:pPr>
    </w:p>
    <w:p>
      <w:pPr>
        <w:pStyle w:val="0"/>
        <w:ind w:left="0" w:leftChars="0" w:firstLine="4556" w:firstLineChars="1700"/>
        <w:jc w:val="both"/>
        <w:rPr>
          <w:rFonts w:hint="default"/>
          <w:snapToGrid w:val="0"/>
          <w:color w:val="auto"/>
          <w:kern w:val="0"/>
          <w:sz w:val="24"/>
          <w:highlight w:val="none"/>
          <w:u w:val="single" w:color="auto"/>
          <w:shd w:val="clear" w:color="auto" w:themeFill="background1" w:themeFillTint="FF" w:themeFillShade="FF"/>
        </w:rPr>
      </w:pPr>
      <w:r>
        <w:rPr>
          <w:rFonts w:hint="eastAsia"/>
          <w:snapToGrid w:val="0"/>
          <w:color w:val="auto"/>
          <w:kern w:val="0"/>
          <w:sz w:val="24"/>
          <w:highlight w:val="none"/>
          <w:u w:val="single" w:color="auto"/>
          <w:shd w:val="clear" w:color="auto" w:themeFill="background1" w:themeFillTint="FF" w:themeFillShade="FF"/>
        </w:rPr>
        <w:t>申請者氏名又は名称</w:t>
      </w:r>
    </w:p>
    <w:p>
      <w:pPr>
        <w:pStyle w:val="0"/>
        <w:ind w:left="0" w:leftChars="0" w:firstLine="4556" w:firstLineChars="1700"/>
        <w:jc w:val="both"/>
        <w:rPr>
          <w:rFonts w:hint="default"/>
          <w:snapToGrid w:val="0"/>
          <w:color w:val="auto"/>
          <w:kern w:val="0"/>
          <w:sz w:val="24"/>
          <w:highlight w:val="none"/>
          <w:u w:val="single" w:color="auto"/>
          <w:shd w:val="clear" w:color="auto" w:themeFill="background1" w:themeFillTint="FF" w:themeFillShade="FF"/>
        </w:rPr>
      </w:pPr>
      <w:r>
        <w:rPr>
          <w:rFonts w:hint="eastAsia"/>
          <w:snapToGrid w:val="0"/>
          <w:color w:val="auto"/>
          <w:kern w:val="0"/>
          <w:sz w:val="24"/>
          <w:highlight w:val="none"/>
          <w:u w:val="single" w:color="auto"/>
          <w:shd w:val="clear" w:color="auto" w:themeFill="background1" w:themeFillTint="FF" w:themeFillShade="FF"/>
        </w:rPr>
        <w:t>及び代表者氏名　　　　　　　　　　　　　</w:t>
      </w:r>
    </w:p>
    <w:p>
      <w:pPr>
        <w:pStyle w:val="0"/>
        <w:rPr>
          <w:rFonts w:hint="default"/>
          <w:snapToGrid w:val="0"/>
          <w:color w:val="auto"/>
          <w:kern w:val="0"/>
          <w:sz w:val="24"/>
          <w:highlight w:val="none"/>
          <w:shd w:val="clear" w:color="auto" w:themeFill="background1" w:themeFillTint="FF" w:themeFillShade="FF"/>
        </w:rPr>
      </w:pPr>
    </w:p>
    <w:p>
      <w:pPr>
        <w:pStyle w:val="0"/>
        <w:rPr>
          <w:rFonts w:hint="default"/>
          <w:snapToGrid w:val="0"/>
          <w:color w:val="auto"/>
          <w:kern w:val="0"/>
          <w:sz w:val="24"/>
          <w:highlight w:val="none"/>
          <w:shd w:val="clear" w:color="auto" w:themeFill="background1" w:themeFillTint="FF" w:themeFillShade="FF"/>
        </w:rPr>
      </w:pPr>
      <w:r>
        <w:rPr>
          <w:rFonts w:hint="eastAsia"/>
          <w:snapToGrid w:val="0"/>
          <w:color w:val="auto"/>
          <w:kern w:val="0"/>
          <w:sz w:val="24"/>
          <w:highlight w:val="none"/>
          <w:shd w:val="clear" w:color="auto" w:themeFill="background1" w:themeFillTint="FF" w:themeFillShade="FF"/>
        </w:rPr>
        <w:t>　該当するものにチェックを記載してください。</w:t>
      </w:r>
    </w:p>
    <w:p>
      <w:pPr>
        <w:pStyle w:val="0"/>
        <w:rPr>
          <w:rFonts w:hint="default"/>
          <w:snapToGrid w:val="0"/>
          <w:color w:val="auto"/>
          <w:kern w:val="0"/>
          <w:sz w:val="24"/>
          <w:highlight w:val="none"/>
          <w:shd w:val="clear" w:color="auto" w:themeFill="background1" w:themeFillTint="FF" w:themeFillShade="FF"/>
        </w:rPr>
      </w:pPr>
      <w:r>
        <w:rPr>
          <w:rFonts w:hint="eastAsia"/>
          <w:snapToGrid w:val="0"/>
          <w:color w:val="auto"/>
          <w:kern w:val="0"/>
          <w:sz w:val="24"/>
          <w:highlight w:val="none"/>
          <w:shd w:val="clear" w:color="auto" w:themeFill="background1" w:themeFillTint="FF" w:themeFillShade="FF"/>
        </w:rPr>
        <w:t>　なお、補助対象となるには、本チェックリストの各項目を原則全て満たす必要があります。</w:t>
      </w:r>
    </w:p>
    <w:p>
      <w:pPr>
        <w:pStyle w:val="0"/>
        <w:rPr>
          <w:rFonts w:hint="default"/>
          <w:snapToGrid w:val="0"/>
          <w:color w:val="auto"/>
          <w:kern w:val="0"/>
          <w:sz w:val="24"/>
          <w:highlight w:val="none"/>
          <w:shd w:val="clear" w:color="auto" w:themeFill="background1" w:themeFillTint="FF" w:themeFillShade="FF"/>
        </w:rPr>
      </w:pPr>
    </w:p>
    <w:p>
      <w:pPr>
        <w:pStyle w:val="0"/>
        <w:jc w:val="left"/>
        <w:rPr>
          <w:rFonts w:hint="default"/>
          <w:snapToGrid w:val="0"/>
          <w:color w:val="auto"/>
          <w:kern w:val="0"/>
          <w:sz w:val="24"/>
          <w:highlight w:val="none"/>
          <w:shd w:val="clear" w:color="auto" w:themeFill="background1" w:themeFillTint="FF" w:themeFillShade="FF"/>
        </w:rPr>
      </w:pPr>
      <w:r>
        <w:rPr>
          <w:rFonts w:hint="eastAsia" w:ascii="ＭＳ 明朝" w:hAnsi="ＭＳ 明朝" w:eastAsia="ＭＳ 明朝"/>
          <w:snapToGrid w:val="0"/>
          <w:color w:val="auto"/>
          <w:kern w:val="0"/>
          <w:sz w:val="24"/>
          <w:highlight w:val="none"/>
        </w:rPr>
        <w:t>１　太陽光発電設備　</w:t>
      </w:r>
    </w:p>
    <w:tbl>
      <w:tblPr>
        <w:tblStyle w:val="40"/>
        <w:tblW w:w="9475" w:type="dxa"/>
        <w:tblInd w:w="0" w:type="dxa"/>
        <w:tblLayout w:type="fixed"/>
        <w:tblLook w:firstRow="1" w:lastRow="0" w:firstColumn="1" w:lastColumn="0" w:noHBand="0" w:noVBand="1" w:val="04A0"/>
      </w:tblPr>
      <w:tblGrid>
        <w:gridCol w:w="459"/>
        <w:gridCol w:w="9016"/>
      </w:tblGrid>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i w:val="0"/>
                <w:snapToGrid w:val="0"/>
                <w:color w:val="auto"/>
                <w:kern w:val="0"/>
                <w:sz w:val="24"/>
                <w:highlight w:val="none"/>
              </w:rPr>
            </w:pPr>
            <w:r>
              <w:rPr>
                <w:rFonts w:hint="eastAsia" w:ascii="ＭＳ 明朝" w:hAnsi="ＭＳ 明朝" w:eastAsia="ＭＳ 明朝"/>
                <w:snapToGrid w:val="0"/>
                <w:color w:val="auto"/>
                <w:kern w:val="0"/>
                <w:sz w:val="24"/>
                <w:highlight w:val="none"/>
              </w:rPr>
              <w:t>本事業によって得られる環境価値のうち、需要家に供給を行った電力量に紐付く環境価値を需要家に帰属させるものであること。</w:t>
            </w:r>
          </w:p>
          <w:p>
            <w:pPr>
              <w:pStyle w:val="0"/>
              <w:autoSpaceDE w:val="0"/>
              <w:autoSpaceDN w:val="0"/>
              <w:adjustRightInd w:val="0"/>
              <w:jc w:val="left"/>
              <w:rPr>
                <w:rFonts w:hint="default" w:ascii="ＭＳ 明朝" w:hAnsi="ＭＳ 明朝" w:eastAsia="ＭＳ 明朝"/>
                <w:i w:val="0"/>
                <w:snapToGrid w:val="0"/>
                <w:color w:val="auto"/>
                <w:kern w:val="0"/>
                <w:sz w:val="24"/>
                <w:highlight w:val="none"/>
              </w:rPr>
            </w:pPr>
            <w:r>
              <w:rPr>
                <w:rFonts w:hint="eastAsia" w:ascii="ＭＳ 明朝" w:hAnsi="ＭＳ 明朝" w:eastAsia="ＭＳ 明朝"/>
                <w:i w:val="0"/>
                <w:snapToGrid w:val="0"/>
                <w:color w:val="auto"/>
                <w:kern w:val="0"/>
                <w:sz w:val="24"/>
                <w:highlight w:val="none"/>
              </w:rPr>
              <w:t>※発電した電力に関して、再エネ証書、非化石証書、カーボンオフセット、クレジット化等の対象とすることはできません。</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default" w:ascii="ＭＳ 明朝" w:hAnsi="ＭＳ 明朝" w:eastAsia="ＭＳ 明朝"/>
                <w:snapToGrid w:val="0"/>
                <w:color w:val="auto"/>
                <w:kern w:val="0"/>
                <w:sz w:val="24"/>
                <w:highlight w:val="none"/>
              </w:rPr>
              <w:t>FIT</w:t>
            </w:r>
            <w:r>
              <w:rPr>
                <w:rFonts w:hint="eastAsia" w:ascii="ＭＳ 明朝" w:hAnsi="ＭＳ 明朝" w:eastAsia="ＭＳ 明朝"/>
                <w:snapToGrid w:val="0"/>
                <w:color w:val="auto"/>
                <w:kern w:val="0"/>
                <w:sz w:val="24"/>
                <w:highlight w:val="none"/>
              </w:rPr>
              <w:t>の認定又は</w:t>
            </w:r>
            <w:r>
              <w:rPr>
                <w:rFonts w:hint="default" w:ascii="ＭＳ 明朝" w:hAnsi="ＭＳ 明朝" w:eastAsia="ＭＳ 明朝"/>
                <w:snapToGrid w:val="0"/>
                <w:color w:val="auto"/>
                <w:kern w:val="0"/>
                <w:sz w:val="24"/>
                <w:highlight w:val="none"/>
              </w:rPr>
              <w:t>FIP</w:t>
            </w:r>
            <w:r>
              <w:rPr>
                <w:rFonts w:hint="eastAsia" w:ascii="ＭＳ 明朝" w:hAnsi="ＭＳ 明朝" w:eastAsia="ＭＳ 明朝"/>
                <w:snapToGrid w:val="0"/>
                <w:color w:val="auto"/>
                <w:kern w:val="0"/>
                <w:sz w:val="24"/>
                <w:highlight w:val="none"/>
              </w:rPr>
              <w:t>制度の認定を取得していないこと。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電気事業法第２条第１項第５号ロに定める接続供給（自己託送）を行わないものであること。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再エネ特措法に基づく「事業計画策定ガイドライン（太陽光発電）」（資源エネルギー庁）に定める遵守事項等に準拠して事業を実施す</w:t>
            </w:r>
            <w:r>
              <w:rPr>
                <w:rFonts w:hint="eastAsia" w:ascii="ＭＳ 明朝" w:hAnsi="ＭＳ 明朝" w:eastAsia="ＭＳ 明朝"/>
                <w:strike w:val="0"/>
                <w:dstrike w:val="0"/>
                <w:snapToGrid w:val="0"/>
                <w:color w:val="auto"/>
                <w:kern w:val="0"/>
                <w:sz w:val="24"/>
                <w:highlight w:val="none"/>
              </w:rPr>
              <w:t>る</w:t>
            </w:r>
            <w:r>
              <w:rPr>
                <w:rFonts w:hint="eastAsia" w:ascii="ＭＳ 明朝" w:hAnsi="ＭＳ 明朝" w:eastAsia="ＭＳ 明朝"/>
                <w:snapToGrid w:val="0"/>
                <w:color w:val="auto"/>
                <w:kern w:val="0"/>
                <w:sz w:val="24"/>
                <w:highlight w:val="none"/>
              </w:rPr>
              <w:t>こと。</w:t>
            </w:r>
          </w:p>
        </w:tc>
      </w:tr>
      <w:tr>
        <w:trPr/>
        <w:tc>
          <w:tcPr>
            <w:tcW w:w="459" w:type="dxa"/>
            <w:vAlign w:val="center"/>
          </w:tcPr>
          <w:p>
            <w:pPr>
              <w:pStyle w:val="0"/>
              <w:jc w:val="center"/>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地域住民や本市と適切なコミュニケーションを図るとともに、地域住民に十分配慮して事業を実施するよう努めること。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関係法令及び条例の規定に従い、土地開発等の設計・施工を行うこと。</w:t>
            </w:r>
          </w:p>
        </w:tc>
      </w:tr>
      <w:tr>
        <w:trPr/>
        <w:tc>
          <w:tcPr>
            <w:tcW w:w="459" w:type="dxa"/>
            <w:vAlign w:val="center"/>
          </w:tcPr>
          <w:p>
            <w:pPr>
              <w:pStyle w:val="0"/>
              <w:jc w:val="center"/>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防災、環境保全、景観保全を考慮し交付対象事業に係る設備の設計を行うよう努めること。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一の場所において、設備を複数の設備に分割したものでないこと。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default" w:ascii="ＭＳ 明朝" w:hAnsi="ＭＳ 明朝" w:eastAsia="ＭＳ 明朝"/>
                <w:snapToGrid w:val="0"/>
                <w:color w:val="auto"/>
                <w:kern w:val="0"/>
                <w:sz w:val="24"/>
                <w:highlight w:val="none"/>
              </w:rPr>
              <w:t>20kW</w:t>
            </w:r>
            <w:r>
              <w:rPr>
                <w:rFonts w:hint="eastAsia" w:ascii="ＭＳ 明朝" w:hAnsi="ＭＳ 明朝" w:eastAsia="ＭＳ 明朝"/>
                <w:snapToGrid w:val="0"/>
                <w:color w:val="auto"/>
                <w:kern w:val="0"/>
                <w:sz w:val="24"/>
                <w:highlight w:val="none"/>
              </w:rPr>
              <w:t>以上の太陽光発電設備の場合、設備形態上、第三者が容易に発電設備に近づくことができない場合を除き、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w:t>
            </w:r>
            <w:r>
              <w:rPr>
                <w:rFonts w:hint="eastAsia" w:ascii="ＭＳ 明朝" w:hAnsi="ＭＳ 明朝" w:eastAsia="ＭＳ 明朝"/>
                <w:strike w:val="0"/>
                <w:dstrike w:val="0"/>
                <w:snapToGrid w:val="0"/>
                <w:color w:val="auto"/>
                <w:kern w:val="0"/>
                <w:sz w:val="24"/>
                <w:highlight w:val="none"/>
              </w:rPr>
              <w:t>する</w:t>
            </w:r>
            <w:r>
              <w:rPr>
                <w:rFonts w:hint="eastAsia" w:ascii="ＭＳ 明朝" w:hAnsi="ＭＳ 明朝" w:eastAsia="ＭＳ 明朝"/>
                <w:snapToGrid w:val="0"/>
                <w:color w:val="auto"/>
                <w:kern w:val="0"/>
                <w:sz w:val="24"/>
                <w:highlight w:val="none"/>
              </w:rPr>
              <w:t>こと。</w:t>
            </w:r>
          </w:p>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※屋根置きの場合には原則必要ありません。</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設備の設置後、適切な保守点検及び維持管理を実施すること。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接続契約を締結している一般送配電事業者又は特定送配電事業者から国が定める出力制御の指針に基づいた出力制御の要請を受けたときは、適切な方法により協力すること。</w:t>
            </w:r>
          </w:p>
        </w:tc>
      </w:tr>
      <w:tr>
        <w:trPr/>
        <w:tc>
          <w:tcPr>
            <w:tcW w:w="459" w:type="dxa"/>
            <w:vAlign w:val="center"/>
          </w:tcPr>
          <w:p>
            <w:pPr>
              <w:pStyle w:val="0"/>
              <w:jc w:val="center"/>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防災、環境保全、景観保全の観点から計画段階で予期しなかった問題が生じた場合、適切な対策を講じ、災害防止や自然破壊、近隣への配慮を行うよう努めること。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交付対象設備を処分する際は、関係法令（本市条例等を含む。）の規定を遵守すること。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10</w:t>
            </w:r>
            <w:r>
              <w:rPr>
                <w:rFonts w:hint="default" w:ascii="ＭＳ 明朝" w:hAnsi="ＭＳ 明朝" w:eastAsia="ＭＳ 明朝"/>
                <w:snapToGrid w:val="0"/>
                <w:color w:val="auto"/>
                <w:kern w:val="0"/>
                <w:sz w:val="24"/>
                <w:highlight w:val="none"/>
              </w:rPr>
              <w:t>kW</w:t>
            </w:r>
            <w:r>
              <w:rPr>
                <w:rFonts w:hint="eastAsia" w:ascii="ＭＳ 明朝" w:hAnsi="ＭＳ 明朝" w:eastAsia="ＭＳ 明朝"/>
                <w:snapToGrid w:val="0"/>
                <w:color w:val="auto"/>
                <w:kern w:val="0"/>
                <w:sz w:val="24"/>
                <w:highlight w:val="none"/>
              </w:rPr>
              <w:t>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tc>
      </w:tr>
      <w:tr>
        <w:trPr/>
        <w:tc>
          <w:tcPr>
            <w:tcW w:w="459" w:type="dxa"/>
            <w:vAlign w:val="center"/>
          </w:tcPr>
          <w:p>
            <w:pPr>
              <w:pStyle w:val="0"/>
              <w:jc w:val="center"/>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10</w:t>
            </w:r>
            <w:r>
              <w:rPr>
                <w:rFonts w:hint="default" w:ascii="ＭＳ 明朝" w:hAnsi="ＭＳ 明朝" w:eastAsia="ＭＳ 明朝"/>
                <w:strike w:val="0"/>
                <w:dstrike w:val="0"/>
                <w:snapToGrid w:val="0"/>
                <w:color w:val="auto"/>
                <w:kern w:val="0"/>
                <w:sz w:val="24"/>
                <w:highlight w:val="none"/>
              </w:rPr>
              <w:t>kW</w:t>
            </w:r>
            <w:r>
              <w:rPr>
                <w:rFonts w:hint="eastAsia" w:ascii="ＭＳ 明朝" w:hAnsi="ＭＳ 明朝" w:eastAsia="ＭＳ 明朝"/>
                <w:strike w:val="0"/>
                <w:dstrike w:val="0"/>
                <w:snapToGrid w:val="0"/>
                <w:color w:val="auto"/>
                <w:kern w:val="0"/>
                <w:sz w:val="24"/>
                <w:highlight w:val="none"/>
              </w:rPr>
              <w:t>以上の太陽光発電設備の場合、災害等による撤去及び処分に備えた火災保険や地震保険、第三者賠償保険等に加入するよう努めること。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（ａ）または（ｂ）のいずれかを満たすこと。</w:t>
            </w:r>
          </w:p>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（ａ）　対象機器の導入後、発電した電力のうち、</w:t>
            </w:r>
            <w:r>
              <w:rPr>
                <w:rFonts w:hint="eastAsia" w:ascii="ＭＳ 明朝" w:hAnsi="ＭＳ 明朝" w:eastAsia="ＭＳ 明朝"/>
                <w:snapToGrid w:val="0"/>
                <w:color w:val="auto"/>
                <w:kern w:val="0"/>
                <w:sz w:val="24"/>
                <w:highlight w:val="none"/>
              </w:rPr>
              <w:t>50</w:t>
            </w:r>
            <w:r>
              <w:rPr>
                <w:rFonts w:hint="eastAsia" w:ascii="ＭＳ 明朝" w:hAnsi="ＭＳ 明朝" w:eastAsia="ＭＳ 明朝"/>
                <w:snapToGrid w:val="0"/>
                <w:color w:val="auto"/>
                <w:kern w:val="0"/>
                <w:sz w:val="24"/>
                <w:highlight w:val="none"/>
              </w:rPr>
              <w:t>％以上自家消費すること。</w:t>
            </w:r>
          </w:p>
          <w:p>
            <w:pPr>
              <w:pStyle w:val="0"/>
              <w:autoSpaceDE w:val="0"/>
              <w:autoSpaceDN w:val="0"/>
              <w:adjustRightInd w:val="0"/>
              <w:ind w:left="714" w:leftChars="300" w:firstLine="0" w:firstLineChars="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※ただし、</w:t>
            </w:r>
            <w:r>
              <w:rPr>
                <w:rFonts w:hint="eastAsia" w:ascii="ＭＳ 明朝" w:hAnsi="ＭＳ 明朝" w:eastAsia="ＭＳ 明朝"/>
                <w:snapToGrid w:val="0"/>
                <w:color w:val="auto"/>
                <w:kern w:val="0"/>
                <w:sz w:val="24"/>
                <w:highlight w:val="none"/>
              </w:rPr>
              <w:t>30</w:t>
            </w:r>
            <w:r>
              <w:rPr>
                <w:rFonts w:hint="eastAsia" w:ascii="ＭＳ 明朝" w:hAnsi="ＭＳ 明朝" w:eastAsia="ＭＳ 明朝"/>
                <w:snapToGrid w:val="0"/>
                <w:color w:val="auto"/>
                <w:kern w:val="0"/>
                <w:sz w:val="24"/>
                <w:highlight w:val="none"/>
              </w:rPr>
              <w:t>％以上を自家消費し、残りを茨城県内で消費することも可能です。</w:t>
            </w:r>
          </w:p>
          <w:p>
            <w:pPr>
              <w:pStyle w:val="0"/>
              <w:autoSpaceDE w:val="0"/>
              <w:autoSpaceDN w:val="0"/>
              <w:adjustRightInd w:val="0"/>
              <w:ind w:left="0" w:leftChars="0" w:hanging="710" w:hangingChars="265"/>
              <w:jc w:val="left"/>
              <w:rPr>
                <w:rFonts w:hint="eastAsia"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（ｂ）　需要家の敷地外に本事業により導入する再エネ発電設備を設置した場合、自営線により発電した電力を当該需要家に供給して消費すること。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自家消費率が達成していることを確認するため、市から発電電力量や使用電力量の記録資料の提出等を求めることがあった際は、速やかに応じること。（設置導入後、複数年間の期間が対象となる。）</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spacing w:line="296" w:lineRule="atLeast"/>
              <w:jc w:val="left"/>
              <w:rPr>
                <w:rFonts w:hint="default" w:ascii="ＭＳ 明朝" w:hAnsi="ＭＳ 明朝" w:eastAsia="ＭＳ 明朝"/>
                <w:snapToGrid w:val="0"/>
                <w:color w:val="auto"/>
                <w:spacing w:val="5"/>
                <w:kern w:val="0"/>
                <w:sz w:val="24"/>
                <w:highlight w:val="none"/>
              </w:rPr>
            </w:pPr>
            <w:r>
              <w:rPr>
                <w:rFonts w:hint="eastAsia" w:ascii="ＭＳ 明朝" w:hAnsi="ＭＳ 明朝" w:eastAsia="ＭＳ 明朝"/>
                <w:snapToGrid w:val="0"/>
                <w:color w:val="auto"/>
                <w:spacing w:val="5"/>
                <w:kern w:val="0"/>
                <w:sz w:val="24"/>
                <w:highlight w:val="none"/>
              </w:rPr>
              <w:t>設備は、商用化され、導入実績があるものであること。また、中古設備でないこと。</w:t>
            </w:r>
          </w:p>
        </w:tc>
      </w:tr>
      <w:tr>
        <w:trPr/>
        <w:tc>
          <w:tcPr>
            <w:tcW w:w="459" w:type="dxa"/>
            <w:vAlign w:val="center"/>
          </w:tcPr>
          <w:p>
            <w:pPr>
              <w:pStyle w:val="0"/>
              <w:jc w:val="center"/>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w:t>
            </w:r>
          </w:p>
        </w:tc>
        <w:tc>
          <w:tcPr>
            <w:tcW w:w="9016" w:type="dxa"/>
            <w:vAlign w:val="top"/>
          </w:tcPr>
          <w:p>
            <w:pPr>
              <w:pStyle w:val="0"/>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spacing w:val="5"/>
                <w:kern w:val="0"/>
                <w:sz w:val="24"/>
                <w:highlight w:val="none"/>
              </w:rPr>
              <w:t>法定耐用年数を経過するまでの間、補助対象事業により取得した温室効果ガス排出削減効果について</w:t>
            </w:r>
            <w:r>
              <w:rPr>
                <w:rFonts w:hint="default" w:ascii="ＭＳ 明朝" w:hAnsi="ＭＳ 明朝" w:eastAsia="ＭＳ 明朝"/>
                <w:strike w:val="0"/>
                <w:dstrike w:val="0"/>
                <w:snapToGrid w:val="0"/>
                <w:color w:val="auto"/>
                <w:spacing w:val="5"/>
                <w:kern w:val="0"/>
                <w:sz w:val="24"/>
                <w:highlight w:val="none"/>
              </w:rPr>
              <w:t>J-</w:t>
            </w:r>
            <w:r>
              <w:rPr>
                <w:rFonts w:hint="default" w:ascii="ＭＳ 明朝" w:hAnsi="ＭＳ 明朝" w:eastAsia="ＭＳ 明朝"/>
                <w:strike w:val="0"/>
                <w:dstrike w:val="0"/>
                <w:snapToGrid w:val="0"/>
                <w:color w:val="auto"/>
                <w:spacing w:val="5"/>
                <w:kern w:val="0"/>
                <w:sz w:val="24"/>
                <w:highlight w:val="none"/>
              </w:rPr>
              <w:t>クレジット制度</w:t>
            </w:r>
            <w:r>
              <w:rPr>
                <w:rFonts w:hint="eastAsia" w:ascii="ＭＳ 明朝" w:hAnsi="ＭＳ 明朝" w:eastAsia="ＭＳ 明朝"/>
                <w:strike w:val="0"/>
                <w:dstrike w:val="0"/>
                <w:snapToGrid w:val="0"/>
                <w:color w:val="auto"/>
                <w:spacing w:val="5"/>
                <w:kern w:val="0"/>
                <w:sz w:val="24"/>
                <w:highlight w:val="none"/>
              </w:rPr>
              <w:t>等</w:t>
            </w:r>
            <w:r>
              <w:rPr>
                <w:rFonts w:hint="default" w:ascii="ＭＳ 明朝" w:hAnsi="ＭＳ 明朝" w:eastAsia="ＭＳ 明朝"/>
                <w:strike w:val="0"/>
                <w:dstrike w:val="0"/>
                <w:snapToGrid w:val="0"/>
                <w:color w:val="auto"/>
                <w:spacing w:val="5"/>
                <w:kern w:val="0"/>
                <w:sz w:val="24"/>
                <w:highlight w:val="none"/>
              </w:rPr>
              <w:t>への登録を行わないこと。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shd w:val="clear" w:color="auto" w:fill="auto"/>
            <w:vAlign w:val="top"/>
          </w:tcPr>
          <w:p>
            <w:pPr>
              <w:pStyle w:val="0"/>
              <w:rPr>
                <w:rFonts w:hint="default" w:ascii="ＭＳ 明朝" w:hAnsi="ＭＳ 明朝" w:eastAsia="ＭＳ 明朝"/>
                <w:snapToGrid w:val="0"/>
                <w:color w:val="auto"/>
                <w:spacing w:val="5"/>
                <w:kern w:val="0"/>
                <w:sz w:val="24"/>
                <w:highlight w:val="none"/>
              </w:rPr>
            </w:pPr>
            <w:r>
              <w:rPr>
                <w:rFonts w:hint="eastAsia" w:ascii="ＭＳ 明朝" w:hAnsi="ＭＳ 明朝" w:eastAsia="ＭＳ 明朝"/>
                <w:snapToGrid w:val="0"/>
                <w:color w:val="auto"/>
                <w:spacing w:val="5"/>
                <w:kern w:val="0"/>
                <w:sz w:val="24"/>
                <w:highlight w:val="none"/>
              </w:rPr>
              <w:t>地方税法第２０条の１１の規定により、北茨城市が固定資産税（償却資産分）調査を行う際、本補助金申請情報を北茨城市において確認する場合があることを了承すること。</w:t>
            </w:r>
          </w:p>
        </w:tc>
      </w:tr>
    </w:tbl>
    <w:p>
      <w:pPr>
        <w:pStyle w:val="0"/>
        <w:rPr>
          <w:rFonts w:hint="default"/>
          <w:snapToGrid w:val="0"/>
          <w:color w:val="auto"/>
          <w:kern w:val="0"/>
          <w:sz w:val="24"/>
          <w:highlight w:val="none"/>
          <w:shd w:val="clear" w:color="auto" w:themeFill="background1" w:themeFillTint="FF" w:themeFillShade="FF"/>
        </w:rPr>
      </w:pPr>
    </w:p>
    <w:p>
      <w:pPr>
        <w:pStyle w:val="0"/>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　２　蓄電池</w:t>
      </w:r>
    </w:p>
    <w:tbl>
      <w:tblPr>
        <w:tblStyle w:val="40"/>
        <w:tblW w:w="9475" w:type="dxa"/>
        <w:tblInd w:w="0" w:type="dxa"/>
        <w:tblLayout w:type="fixed"/>
        <w:tblLook w:firstRow="1" w:lastRow="0" w:firstColumn="1" w:lastColumn="0" w:noHBand="0" w:noVBand="1" w:val="04A0"/>
      </w:tblPr>
      <w:tblGrid>
        <w:gridCol w:w="459"/>
        <w:gridCol w:w="9016"/>
      </w:tblGrid>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原則として再生可能エネルギー発電設備によって発電した電気を蓄電するものであり、平時において充放電を繰り返すことを前提とした設備</w:t>
            </w:r>
            <w:r>
              <w:rPr>
                <w:rFonts w:hint="eastAsia" w:ascii="ＭＳ 明朝" w:hAnsi="ＭＳ 明朝" w:eastAsia="ＭＳ 明朝"/>
                <w:strike w:val="0"/>
                <w:dstrike w:val="0"/>
                <w:snapToGrid w:val="0"/>
                <w:color w:val="auto"/>
                <w:kern w:val="0"/>
                <w:sz w:val="24"/>
                <w:highlight w:val="none"/>
              </w:rPr>
              <w:t>とす</w:t>
            </w:r>
            <w:r>
              <w:rPr>
                <w:rFonts w:hint="eastAsia" w:ascii="ＭＳ 明朝" w:hAnsi="ＭＳ 明朝" w:eastAsia="ＭＳ 明朝"/>
                <w:snapToGrid w:val="0"/>
                <w:color w:val="auto"/>
                <w:kern w:val="0"/>
                <w:sz w:val="24"/>
                <w:highlight w:val="none"/>
              </w:rPr>
              <w:t>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停電時のみに利用する非常用予備電源でないこと。</w:t>
            </w:r>
          </w:p>
        </w:tc>
      </w:tr>
      <w:tr>
        <w:trPr/>
        <w:tc>
          <w:tcPr>
            <w:tcW w:w="459" w:type="dxa"/>
            <w:vAlign w:val="center"/>
          </w:tcPr>
          <w:p>
            <w:pPr>
              <w:pStyle w:val="0"/>
              <w:jc w:val="center"/>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20kWh</w:t>
            </w:r>
            <w:r>
              <w:rPr>
                <w:rFonts w:hint="eastAsia" w:ascii="ＭＳ 明朝" w:hAnsi="ＭＳ 明朝" w:eastAsia="ＭＳ 明朝"/>
                <w:strike w:val="0"/>
                <w:dstrike w:val="0"/>
                <w:snapToGrid w:val="0"/>
                <w:color w:val="auto"/>
                <w:kern w:val="0"/>
                <w:sz w:val="24"/>
                <w:highlight w:val="none"/>
              </w:rPr>
              <w:t>未満の設備：</w:t>
            </w:r>
            <w:r>
              <w:rPr>
                <w:rFonts w:hint="eastAsia" w:ascii="ＭＳ 明朝" w:hAnsi="ＭＳ 明朝" w:eastAsia="ＭＳ 明朝"/>
                <w:strike w:val="0"/>
                <w:dstrike w:val="0"/>
                <w:snapToGrid w:val="0"/>
                <w:color w:val="auto"/>
                <w:kern w:val="0"/>
                <w:sz w:val="24"/>
                <w:highlight w:val="none"/>
              </w:rPr>
              <w:t>12.5</w:t>
            </w:r>
            <w:r>
              <w:rPr>
                <w:rFonts w:hint="eastAsia" w:ascii="ＭＳ 明朝" w:hAnsi="ＭＳ 明朝" w:eastAsia="ＭＳ 明朝"/>
                <w:strike w:val="0"/>
                <w:dstrike w:val="0"/>
                <w:snapToGrid w:val="0"/>
                <w:color w:val="auto"/>
                <w:kern w:val="0"/>
                <w:sz w:val="24"/>
                <w:highlight w:val="none"/>
              </w:rPr>
              <w:t>万円</w:t>
            </w:r>
            <w:r>
              <w:rPr>
                <w:rFonts w:hint="eastAsia" w:ascii="ＭＳ 明朝" w:hAnsi="ＭＳ 明朝" w:eastAsia="ＭＳ 明朝"/>
                <w:strike w:val="0"/>
                <w:dstrike w:val="0"/>
                <w:snapToGrid w:val="0"/>
                <w:color w:val="auto"/>
                <w:kern w:val="0"/>
                <w:sz w:val="24"/>
                <w:highlight w:val="none"/>
              </w:rPr>
              <w:t>/kWh</w:t>
            </w:r>
            <w:r>
              <w:rPr>
                <w:rFonts w:hint="eastAsia" w:ascii="ＭＳ 明朝" w:hAnsi="ＭＳ 明朝" w:eastAsia="ＭＳ 明朝"/>
                <w:strike w:val="0"/>
                <w:dstrike w:val="0"/>
                <w:snapToGrid w:val="0"/>
                <w:color w:val="auto"/>
                <w:kern w:val="0"/>
                <w:sz w:val="24"/>
                <w:highlight w:val="none"/>
              </w:rPr>
              <w:t>、</w:t>
            </w:r>
            <w:r>
              <w:rPr>
                <w:rFonts w:hint="eastAsia" w:ascii="ＭＳ 明朝" w:hAnsi="ＭＳ 明朝" w:eastAsia="ＭＳ 明朝"/>
                <w:strike w:val="0"/>
                <w:dstrike w:val="0"/>
                <w:snapToGrid w:val="0"/>
                <w:color w:val="auto"/>
                <w:kern w:val="0"/>
                <w:sz w:val="24"/>
                <w:highlight w:val="none"/>
              </w:rPr>
              <w:t>20kWh</w:t>
            </w:r>
            <w:r>
              <w:rPr>
                <w:rFonts w:hint="eastAsia" w:ascii="ＭＳ 明朝" w:hAnsi="ＭＳ 明朝" w:eastAsia="ＭＳ 明朝"/>
                <w:strike w:val="0"/>
                <w:dstrike w:val="0"/>
                <w:snapToGrid w:val="0"/>
                <w:color w:val="auto"/>
                <w:kern w:val="0"/>
                <w:sz w:val="24"/>
                <w:highlight w:val="none"/>
              </w:rPr>
              <w:t>以上の設備：</w:t>
            </w:r>
            <w:r>
              <w:rPr>
                <w:rFonts w:hint="eastAsia" w:ascii="ＭＳ 明朝" w:hAnsi="ＭＳ 明朝" w:eastAsia="ＭＳ 明朝"/>
                <w:strike w:val="0"/>
                <w:dstrike w:val="0"/>
                <w:snapToGrid w:val="0"/>
                <w:color w:val="auto"/>
                <w:kern w:val="0"/>
                <w:sz w:val="24"/>
                <w:highlight w:val="none"/>
              </w:rPr>
              <w:t>11.9</w:t>
            </w:r>
            <w:r>
              <w:rPr>
                <w:rFonts w:hint="eastAsia" w:ascii="ＭＳ 明朝" w:hAnsi="ＭＳ 明朝" w:eastAsia="ＭＳ 明朝"/>
                <w:strike w:val="0"/>
                <w:dstrike w:val="0"/>
                <w:snapToGrid w:val="0"/>
                <w:color w:val="auto"/>
                <w:kern w:val="0"/>
                <w:sz w:val="24"/>
                <w:highlight w:val="none"/>
              </w:rPr>
              <w:t>万円</w:t>
            </w:r>
            <w:r>
              <w:rPr>
                <w:rFonts w:hint="eastAsia" w:ascii="ＭＳ 明朝" w:hAnsi="ＭＳ 明朝" w:eastAsia="ＭＳ 明朝"/>
                <w:strike w:val="0"/>
                <w:dstrike w:val="0"/>
                <w:snapToGrid w:val="0"/>
                <w:color w:val="auto"/>
                <w:kern w:val="0"/>
                <w:sz w:val="24"/>
                <w:highlight w:val="none"/>
              </w:rPr>
              <w:t>/kWh</w:t>
            </w:r>
            <w:r>
              <w:rPr>
                <w:rFonts w:hint="eastAsia" w:ascii="ＭＳ 明朝" w:hAnsi="ＭＳ 明朝" w:eastAsia="ＭＳ 明朝"/>
                <w:strike w:val="0"/>
                <w:dstrike w:val="0"/>
                <w:snapToGrid w:val="0"/>
                <w:color w:val="auto"/>
                <w:kern w:val="0"/>
                <w:sz w:val="24"/>
                <w:highlight w:val="none"/>
              </w:rPr>
              <w:t>以下（いずれも工事費込み・税抜き）の蓄電システムとなるよう努めること。</w:t>
            </w:r>
          </w:p>
          <w:p>
            <w:pPr>
              <w:pStyle w:val="0"/>
              <w:autoSpaceDE w:val="0"/>
              <w:autoSpaceDN w:val="0"/>
              <w:adjustRightInd w:val="0"/>
              <w:jc w:val="left"/>
              <w:rPr>
                <w:rFonts w:hint="default" w:ascii="ＭＳ 明朝" w:hAnsi="ＭＳ 明朝" w:eastAsia="ＭＳ 明朝"/>
                <w:strike w:val="0"/>
                <w:dstrike w:val="0"/>
                <w:snapToGrid w:val="0"/>
                <w:color w:val="auto"/>
                <w:kern w:val="0"/>
                <w:sz w:val="24"/>
                <w:highlight w:val="none"/>
              </w:rPr>
            </w:pPr>
            <w:r>
              <w:rPr>
                <w:rFonts w:hint="eastAsia" w:ascii="ＭＳ 明朝" w:hAnsi="ＭＳ 明朝" w:eastAsia="ＭＳ 明朝"/>
                <w:strike w:val="0"/>
                <w:dstrike w:val="0"/>
                <w:snapToGrid w:val="0"/>
                <w:color w:val="auto"/>
                <w:kern w:val="0"/>
                <w:sz w:val="24"/>
                <w:highlight w:val="none"/>
              </w:rPr>
              <w:t>※補助対象の上限額は、</w:t>
            </w:r>
            <w:r>
              <w:rPr>
                <w:rFonts w:hint="eastAsia" w:ascii="ＭＳ 明朝" w:hAnsi="ＭＳ 明朝" w:eastAsia="ＭＳ 明朝"/>
                <w:strike w:val="0"/>
                <w:dstrike w:val="0"/>
                <w:snapToGrid w:val="0"/>
                <w:color w:val="auto"/>
                <w:kern w:val="0"/>
                <w:sz w:val="24"/>
                <w:highlight w:val="none"/>
              </w:rPr>
              <w:t>20kWh</w:t>
            </w:r>
            <w:r>
              <w:rPr>
                <w:rFonts w:hint="eastAsia" w:ascii="ＭＳ 明朝" w:hAnsi="ＭＳ 明朝" w:eastAsia="ＭＳ 明朝"/>
                <w:strike w:val="0"/>
                <w:dstrike w:val="0"/>
                <w:snapToGrid w:val="0"/>
                <w:color w:val="auto"/>
                <w:kern w:val="0"/>
                <w:sz w:val="24"/>
                <w:highlight w:val="none"/>
              </w:rPr>
              <w:t>未満：</w:t>
            </w:r>
            <w:r>
              <w:rPr>
                <w:rFonts w:hint="eastAsia" w:ascii="ＭＳ 明朝" w:hAnsi="ＭＳ 明朝" w:eastAsia="ＭＳ 明朝"/>
                <w:strike w:val="0"/>
                <w:dstrike w:val="0"/>
                <w:snapToGrid w:val="0"/>
                <w:color w:val="auto"/>
                <w:kern w:val="0"/>
                <w:sz w:val="24"/>
                <w:highlight w:val="none"/>
              </w:rPr>
              <w:t>4.7</w:t>
            </w:r>
            <w:r>
              <w:rPr>
                <w:rFonts w:hint="eastAsia" w:ascii="ＭＳ 明朝" w:hAnsi="ＭＳ 明朝" w:eastAsia="ＭＳ 明朝"/>
                <w:strike w:val="0"/>
                <w:dstrike w:val="0"/>
                <w:snapToGrid w:val="0"/>
                <w:color w:val="auto"/>
                <w:kern w:val="0"/>
                <w:sz w:val="24"/>
                <w:highlight w:val="none"/>
              </w:rPr>
              <w:t>万円</w:t>
            </w:r>
            <w:r>
              <w:rPr>
                <w:rFonts w:hint="eastAsia" w:ascii="ＭＳ 明朝" w:hAnsi="ＭＳ 明朝" w:eastAsia="ＭＳ 明朝"/>
                <w:strike w:val="0"/>
                <w:dstrike w:val="0"/>
                <w:snapToGrid w:val="0"/>
                <w:color w:val="auto"/>
                <w:kern w:val="0"/>
                <w:sz w:val="24"/>
                <w:highlight w:val="none"/>
              </w:rPr>
              <w:t>/kWh</w:t>
            </w:r>
            <w:r>
              <w:rPr>
                <w:rFonts w:hint="eastAsia" w:ascii="ＭＳ 明朝" w:hAnsi="ＭＳ 明朝" w:eastAsia="ＭＳ 明朝"/>
                <w:strike w:val="0"/>
                <w:dstrike w:val="0"/>
                <w:snapToGrid w:val="0"/>
                <w:color w:val="auto"/>
                <w:kern w:val="0"/>
                <w:sz w:val="24"/>
                <w:highlight w:val="none"/>
              </w:rPr>
              <w:t>、</w:t>
            </w:r>
            <w:r>
              <w:rPr>
                <w:rFonts w:hint="eastAsia" w:ascii="ＭＳ 明朝" w:hAnsi="ＭＳ 明朝" w:eastAsia="ＭＳ 明朝"/>
                <w:strike w:val="0"/>
                <w:dstrike w:val="0"/>
                <w:snapToGrid w:val="0"/>
                <w:color w:val="auto"/>
                <w:kern w:val="0"/>
                <w:sz w:val="24"/>
                <w:highlight w:val="none"/>
              </w:rPr>
              <w:t>20kWh</w:t>
            </w:r>
            <w:r>
              <w:rPr>
                <w:rFonts w:hint="eastAsia" w:ascii="ＭＳ 明朝" w:hAnsi="ＭＳ 明朝" w:eastAsia="ＭＳ 明朝"/>
                <w:strike w:val="0"/>
                <w:dstrike w:val="0"/>
                <w:snapToGrid w:val="0"/>
                <w:color w:val="auto"/>
                <w:kern w:val="0"/>
                <w:sz w:val="24"/>
                <w:highlight w:val="none"/>
              </w:rPr>
              <w:t>以上：</w:t>
            </w:r>
            <w:r>
              <w:rPr>
                <w:rFonts w:hint="eastAsia" w:ascii="ＭＳ 明朝" w:hAnsi="ＭＳ 明朝" w:eastAsia="ＭＳ 明朝"/>
                <w:strike w:val="0"/>
                <w:dstrike w:val="0"/>
                <w:snapToGrid w:val="0"/>
                <w:color w:val="auto"/>
                <w:kern w:val="0"/>
                <w:sz w:val="24"/>
                <w:highlight w:val="none"/>
              </w:rPr>
              <w:t>5.3</w:t>
            </w:r>
            <w:r>
              <w:rPr>
                <w:rFonts w:hint="eastAsia" w:ascii="ＭＳ 明朝" w:hAnsi="ＭＳ 明朝" w:eastAsia="ＭＳ 明朝"/>
                <w:strike w:val="0"/>
                <w:dstrike w:val="0"/>
                <w:snapToGrid w:val="0"/>
                <w:color w:val="auto"/>
                <w:kern w:val="0"/>
                <w:sz w:val="24"/>
                <w:highlight w:val="none"/>
              </w:rPr>
              <w:t>万円</w:t>
            </w:r>
            <w:r>
              <w:rPr>
                <w:rFonts w:hint="eastAsia" w:ascii="ＭＳ 明朝" w:hAnsi="ＭＳ 明朝" w:eastAsia="ＭＳ 明朝"/>
                <w:strike w:val="0"/>
                <w:dstrike w:val="0"/>
                <w:snapToGrid w:val="0"/>
                <w:color w:val="auto"/>
                <w:kern w:val="0"/>
                <w:sz w:val="24"/>
                <w:highlight w:val="none"/>
              </w:rPr>
              <w:t>/kWh</w:t>
            </w:r>
            <w:r>
              <w:rPr>
                <w:rFonts w:hint="eastAsia" w:ascii="ＭＳ 明朝" w:hAnsi="ＭＳ 明朝" w:eastAsia="ＭＳ 明朝"/>
                <w:strike w:val="0"/>
                <w:dstrike w:val="0"/>
                <w:snapToGrid w:val="0"/>
                <w:color w:val="auto"/>
                <w:kern w:val="0"/>
                <w:sz w:val="24"/>
                <w:highlight w:val="none"/>
              </w:rPr>
              <w:t>（いずれも工事費込み・税抜き）です。</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蓄電池部（初期実効容量</w:t>
            </w:r>
            <w:r>
              <w:rPr>
                <w:rFonts w:hint="eastAsia" w:ascii="ＭＳ 明朝" w:hAnsi="ＭＳ 明朝" w:eastAsia="ＭＳ 明朝"/>
                <w:snapToGrid w:val="0"/>
                <w:color w:val="auto"/>
                <w:kern w:val="0"/>
                <w:sz w:val="24"/>
                <w:highlight w:val="none"/>
              </w:rPr>
              <w:t>1.0</w:t>
            </w:r>
            <w:r>
              <w:rPr>
                <w:rFonts w:hint="default" w:ascii="ＭＳ 明朝" w:hAnsi="ＭＳ 明朝" w:eastAsia="ＭＳ 明朝"/>
                <w:snapToGrid w:val="0"/>
                <w:color w:val="auto"/>
                <w:kern w:val="0"/>
                <w:sz w:val="24"/>
                <w:highlight w:val="none"/>
              </w:rPr>
              <w:t>kWh</w:t>
            </w:r>
            <w:r>
              <w:rPr>
                <w:rFonts w:hint="eastAsia" w:ascii="ＭＳ 明朝" w:hAnsi="ＭＳ 明朝" w:eastAsia="ＭＳ 明朝"/>
                <w:snapToGrid w:val="0"/>
                <w:color w:val="auto"/>
                <w:kern w:val="0"/>
                <w:sz w:val="24"/>
                <w:highlight w:val="none"/>
              </w:rPr>
              <w:t>以上）とパワーコンディショナー等の電力変換装置等から構成されるシステムであり、蓄電システ</w:t>
            </w:r>
            <w:bookmarkStart w:id="0" w:name="_GoBack"/>
            <w:bookmarkEnd w:id="0"/>
            <w:r>
              <w:rPr>
                <w:rFonts w:hint="eastAsia" w:ascii="ＭＳ 明朝" w:hAnsi="ＭＳ 明朝" w:eastAsia="ＭＳ 明朝"/>
                <w:snapToGrid w:val="0"/>
                <w:color w:val="auto"/>
                <w:kern w:val="0"/>
                <w:sz w:val="24"/>
                <w:highlight w:val="none"/>
              </w:rPr>
              <w:t>ム本体機器を含むシステム全体を一つのパッケージとして取り扱うものであること。管理するための番号が付与されていること。</w:t>
            </w:r>
          </w:p>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※蓄電池パッケージ型番を記載してください　＜　　　　　　　　　　　　　＞</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初期実効容量、定格出力、出力可能時間、保有期間、廃棄方法、アフターサービス等について、所定の表示がなされていること。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default" w:ascii="ＭＳ 明朝" w:hAnsi="ＭＳ 明朝" w:eastAsia="ＭＳ 明朝"/>
                <w:snapToGrid w:val="0"/>
                <w:color w:val="auto"/>
                <w:kern w:val="0"/>
                <w:sz w:val="24"/>
                <w:highlight w:val="none"/>
              </w:rPr>
              <w:t>JISC8715-2</w:t>
            </w:r>
            <w:r>
              <w:rPr>
                <w:rFonts w:hint="eastAsia" w:ascii="ＭＳ 明朝" w:hAnsi="ＭＳ 明朝" w:eastAsia="ＭＳ 明朝"/>
                <w:snapToGrid w:val="0"/>
                <w:color w:val="auto"/>
                <w:kern w:val="0"/>
                <w:sz w:val="24"/>
                <w:highlight w:val="none"/>
              </w:rPr>
              <w:t>又は</w:t>
            </w:r>
            <w:r>
              <w:rPr>
                <w:rFonts w:hint="eastAsia" w:ascii="ＭＳ 明朝" w:hAnsi="ＭＳ 明朝" w:eastAsia="ＭＳ 明朝"/>
                <w:snapToGrid w:val="0"/>
                <w:color w:val="auto"/>
                <w:kern w:val="0"/>
                <w:sz w:val="24"/>
                <w:highlight w:val="none"/>
              </w:rPr>
              <w:t>IEC62619</w:t>
            </w:r>
            <w:r>
              <w:rPr>
                <w:rFonts w:hint="eastAsia" w:ascii="ＭＳ 明朝" w:hAnsi="ＭＳ 明朝" w:eastAsia="ＭＳ 明朝"/>
                <w:snapToGrid w:val="0"/>
                <w:color w:val="auto"/>
                <w:kern w:val="0"/>
                <w:sz w:val="24"/>
                <w:highlight w:val="none"/>
              </w:rPr>
              <w:t>の規格を満足</w:t>
            </w:r>
            <w:r>
              <w:rPr>
                <w:rFonts w:hint="eastAsia" w:ascii="ＭＳ 明朝" w:hAnsi="ＭＳ 明朝" w:eastAsia="ＭＳ 明朝"/>
                <w:strike w:val="0"/>
                <w:dstrike w:val="0"/>
                <w:snapToGrid w:val="0"/>
                <w:color w:val="auto"/>
                <w:kern w:val="0"/>
                <w:sz w:val="24"/>
                <w:highlight w:val="none"/>
              </w:rPr>
              <w:t>す</w:t>
            </w:r>
            <w:r>
              <w:rPr>
                <w:rFonts w:hint="eastAsia" w:ascii="ＭＳ 明朝" w:hAnsi="ＭＳ 明朝" w:eastAsia="ＭＳ 明朝"/>
                <w:snapToGrid w:val="0"/>
                <w:color w:val="auto"/>
                <w:kern w:val="0"/>
                <w:sz w:val="24"/>
                <w:highlight w:val="none"/>
              </w:rPr>
              <w:t>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リチウムイオン蓄電池部を使用した蓄電システムの場合、</w:t>
            </w:r>
            <w:r>
              <w:rPr>
                <w:rFonts w:hint="default" w:ascii="ＭＳ 明朝" w:hAnsi="ＭＳ 明朝" w:eastAsia="ＭＳ 明朝"/>
                <w:snapToGrid w:val="0"/>
                <w:color w:val="auto"/>
                <w:kern w:val="0"/>
                <w:sz w:val="24"/>
                <w:highlight w:val="none"/>
              </w:rPr>
              <w:t>JISC4412</w:t>
            </w:r>
            <w:r>
              <w:rPr>
                <w:rFonts w:hint="default" w:ascii="ＭＳ 明朝" w:hAnsi="ＭＳ 明朝" w:eastAsia="ＭＳ 明朝"/>
                <w:snapToGrid w:val="0"/>
                <w:color w:val="auto"/>
                <w:kern w:val="0"/>
                <w:sz w:val="24"/>
                <w:highlight w:val="none"/>
              </w:rPr>
              <w:t>の規格を満足</w:t>
            </w:r>
            <w:r>
              <w:rPr>
                <w:rFonts w:hint="default" w:ascii="ＭＳ 明朝" w:hAnsi="ＭＳ 明朝" w:eastAsia="ＭＳ 明朝"/>
                <w:strike w:val="0"/>
                <w:dstrike w:val="0"/>
                <w:snapToGrid w:val="0"/>
                <w:color w:val="auto"/>
                <w:kern w:val="0"/>
                <w:sz w:val="24"/>
                <w:highlight w:val="none"/>
              </w:rPr>
              <w:t>す</w:t>
            </w:r>
            <w:r>
              <w:rPr>
                <w:rFonts w:hint="default" w:ascii="ＭＳ 明朝" w:hAnsi="ＭＳ 明朝" w:eastAsia="ＭＳ 明朝"/>
                <w:snapToGrid w:val="0"/>
                <w:color w:val="auto"/>
                <w:kern w:val="0"/>
                <w:sz w:val="24"/>
                <w:highlight w:val="none"/>
              </w:rPr>
              <w:t>ること。ただし、</w:t>
            </w:r>
            <w:r>
              <w:rPr>
                <w:rFonts w:hint="eastAsia" w:ascii="ＭＳ 明朝" w:hAnsi="ＭＳ 明朝" w:eastAsia="ＭＳ 明朝"/>
                <w:snapToGrid w:val="0"/>
                <w:color w:val="auto"/>
                <w:kern w:val="0"/>
                <w:sz w:val="24"/>
                <w:highlight w:val="none"/>
              </w:rPr>
              <w:t>電気製品認証協議会が定める</w:t>
            </w:r>
            <w:r>
              <w:rPr>
                <w:rFonts w:hint="default" w:ascii="ＭＳ 明朝" w:hAnsi="ＭＳ 明朝" w:eastAsia="ＭＳ 明朝"/>
                <w:snapToGrid w:val="0"/>
                <w:color w:val="auto"/>
                <w:kern w:val="0"/>
                <w:sz w:val="24"/>
                <w:highlight w:val="none"/>
              </w:rPr>
              <w:t>JISC4412</w:t>
            </w:r>
            <w:r>
              <w:rPr>
                <w:rFonts w:hint="default" w:ascii="ＭＳ 明朝" w:hAnsi="ＭＳ 明朝" w:eastAsia="ＭＳ 明朝"/>
                <w:snapToGrid w:val="0"/>
                <w:color w:val="auto"/>
                <w:kern w:val="0"/>
                <w:sz w:val="24"/>
                <w:highlight w:val="none"/>
              </w:rPr>
              <w:t>適用</w:t>
            </w:r>
            <w:r>
              <w:rPr>
                <w:rFonts w:hint="eastAsia" w:ascii="ＭＳ 明朝" w:hAnsi="ＭＳ 明朝" w:eastAsia="ＭＳ 明朝"/>
                <w:snapToGrid w:val="0"/>
                <w:color w:val="auto"/>
                <w:kern w:val="0"/>
                <w:sz w:val="24"/>
                <w:highlight w:val="none"/>
              </w:rPr>
              <w:t>の猶予期間中は、</w:t>
            </w:r>
            <w:r>
              <w:rPr>
                <w:rFonts w:hint="default" w:ascii="ＭＳ 明朝" w:hAnsi="ＭＳ 明朝" w:eastAsia="ＭＳ 明朝"/>
                <w:snapToGrid w:val="0"/>
                <w:color w:val="auto"/>
                <w:kern w:val="0"/>
                <w:sz w:val="24"/>
                <w:highlight w:val="none"/>
              </w:rPr>
              <w:t>JISC4412</w:t>
            </w:r>
            <w:r>
              <w:rPr>
                <w:rFonts w:hint="eastAsia" w:ascii="ＭＳ 明朝" w:hAnsi="ＭＳ 明朝" w:eastAsia="ＭＳ 明朝"/>
                <w:snapToGrid w:val="0"/>
                <w:color w:val="auto"/>
                <w:kern w:val="0"/>
                <w:sz w:val="24"/>
                <w:highlight w:val="none"/>
              </w:rPr>
              <w:t>-</w:t>
            </w:r>
            <w:r>
              <w:rPr>
                <w:rFonts w:hint="default" w:ascii="ＭＳ 明朝" w:hAnsi="ＭＳ 明朝" w:eastAsia="ＭＳ 明朝"/>
                <w:snapToGrid w:val="0"/>
                <w:color w:val="auto"/>
                <w:kern w:val="0"/>
                <w:sz w:val="24"/>
                <w:highlight w:val="none"/>
              </w:rPr>
              <w:t>1</w:t>
            </w:r>
            <w:r>
              <w:rPr>
                <w:rFonts w:hint="default" w:ascii="ＭＳ 明朝" w:hAnsi="ＭＳ 明朝" w:eastAsia="ＭＳ 明朝"/>
                <w:snapToGrid w:val="0"/>
                <w:color w:val="auto"/>
                <w:kern w:val="0"/>
                <w:sz w:val="24"/>
                <w:highlight w:val="none"/>
              </w:rPr>
              <w:t>若しくは</w:t>
            </w:r>
            <w:r>
              <w:rPr>
                <w:rFonts w:hint="default" w:ascii="ＭＳ 明朝" w:hAnsi="ＭＳ 明朝" w:eastAsia="ＭＳ 明朝"/>
                <w:snapToGrid w:val="0"/>
                <w:color w:val="auto"/>
                <w:kern w:val="0"/>
                <w:sz w:val="24"/>
                <w:highlight w:val="none"/>
              </w:rPr>
              <w:t>JISC4412</w:t>
            </w:r>
            <w:r>
              <w:rPr>
                <w:rFonts w:hint="eastAsia" w:ascii="ＭＳ 明朝" w:hAnsi="ＭＳ 明朝" w:eastAsia="ＭＳ 明朝"/>
                <w:snapToGrid w:val="0"/>
                <w:color w:val="auto"/>
                <w:kern w:val="0"/>
                <w:sz w:val="24"/>
                <w:highlight w:val="none"/>
              </w:rPr>
              <w:t>-</w:t>
            </w:r>
            <w:r>
              <w:rPr>
                <w:rFonts w:hint="default" w:ascii="ＭＳ 明朝" w:hAnsi="ＭＳ 明朝" w:eastAsia="ＭＳ 明朝"/>
                <w:snapToGrid w:val="0"/>
                <w:color w:val="auto"/>
                <w:kern w:val="0"/>
                <w:sz w:val="24"/>
                <w:highlight w:val="none"/>
              </w:rPr>
              <w:t>2</w:t>
            </w:r>
            <w:r>
              <w:rPr>
                <w:rFonts w:hint="default" w:ascii="ＭＳ 明朝" w:hAnsi="ＭＳ 明朝" w:eastAsia="ＭＳ 明朝"/>
                <w:snapToGrid w:val="0"/>
                <w:color w:val="auto"/>
                <w:kern w:val="0"/>
                <w:sz w:val="24"/>
                <w:highlight w:val="none"/>
              </w:rPr>
              <w:t>の規格も可とする。</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リチウムイオン蓄電池部を使用した蓄電システムの場合、蓄電容量１０</w:t>
            </w:r>
            <w:r>
              <w:rPr>
                <w:rFonts w:hint="default" w:ascii="ＭＳ 明朝" w:hAnsi="ＭＳ 明朝" w:eastAsia="ＭＳ 明朝"/>
                <w:snapToGrid w:val="0"/>
                <w:color w:val="auto"/>
                <w:kern w:val="0"/>
                <w:sz w:val="24"/>
                <w:highlight w:val="none"/>
              </w:rPr>
              <w:t>kWh</w:t>
            </w:r>
            <w:r>
              <w:rPr>
                <w:rFonts w:hint="eastAsia" w:ascii="ＭＳ 明朝" w:hAnsi="ＭＳ 明朝" w:eastAsia="ＭＳ 明朝"/>
                <w:snapToGrid w:val="0"/>
                <w:color w:val="auto"/>
                <w:kern w:val="0"/>
                <w:sz w:val="24"/>
                <w:highlight w:val="none"/>
              </w:rPr>
              <w:t>未満の蓄電池は、第三者認証機関の製品審査により、「蓄電システムの震災対策基準」の製品審査に合格したものであること。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jc w:val="left"/>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メーカー保証及びサイクル試験による性能の双方が１０年以上の蓄電システムであること。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autoSpaceDE w:val="0"/>
              <w:autoSpaceDN w:val="0"/>
              <w:adjustRightInd w:val="0"/>
              <w:spacing w:line="296" w:lineRule="atLeast"/>
              <w:jc w:val="left"/>
              <w:rPr>
                <w:rFonts w:hint="default" w:ascii="ＭＳ 明朝" w:hAnsi="ＭＳ 明朝" w:eastAsia="ＭＳ 明朝"/>
                <w:snapToGrid w:val="0"/>
                <w:color w:val="auto"/>
                <w:spacing w:val="5"/>
                <w:kern w:val="0"/>
                <w:sz w:val="24"/>
                <w:highlight w:val="none"/>
              </w:rPr>
            </w:pPr>
            <w:r>
              <w:rPr>
                <w:rFonts w:hint="eastAsia" w:ascii="ＭＳ 明朝" w:hAnsi="ＭＳ 明朝" w:eastAsia="ＭＳ 明朝"/>
                <w:snapToGrid w:val="0"/>
                <w:color w:val="auto"/>
                <w:spacing w:val="5"/>
                <w:kern w:val="0"/>
                <w:sz w:val="24"/>
                <w:highlight w:val="none"/>
              </w:rPr>
              <w:t>設備は、商用化され、導入実績があるものであること。また、中古設備でないこと。</w:t>
            </w:r>
          </w:p>
        </w:tc>
      </w:tr>
      <w:tr>
        <w:trPr/>
        <w:tc>
          <w:tcPr>
            <w:tcW w:w="459" w:type="dxa"/>
            <w:vAlign w:val="center"/>
          </w:tcPr>
          <w:p>
            <w:pPr>
              <w:pStyle w:val="0"/>
              <w:jc w:val="center"/>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kern w:val="0"/>
                <w:sz w:val="24"/>
                <w:highlight w:val="none"/>
              </w:rPr>
              <w:t>□</w:t>
            </w:r>
          </w:p>
        </w:tc>
        <w:tc>
          <w:tcPr>
            <w:tcW w:w="9016" w:type="dxa"/>
            <w:vAlign w:val="top"/>
          </w:tcPr>
          <w:p>
            <w:pPr>
              <w:pStyle w:val="0"/>
              <w:rPr>
                <w:rFonts w:hint="default" w:ascii="ＭＳ 明朝" w:hAnsi="ＭＳ 明朝" w:eastAsia="ＭＳ 明朝"/>
                <w:snapToGrid w:val="0"/>
                <w:color w:val="auto"/>
                <w:kern w:val="0"/>
                <w:sz w:val="24"/>
                <w:highlight w:val="none"/>
              </w:rPr>
            </w:pPr>
            <w:r>
              <w:rPr>
                <w:rFonts w:hint="eastAsia" w:ascii="ＭＳ 明朝" w:hAnsi="ＭＳ 明朝" w:eastAsia="ＭＳ 明朝"/>
                <w:snapToGrid w:val="0"/>
                <w:color w:val="auto"/>
                <w:spacing w:val="5"/>
                <w:kern w:val="0"/>
                <w:sz w:val="24"/>
                <w:highlight w:val="none"/>
              </w:rPr>
              <w:t>法定耐用年数を経過するまでの間、補助対象事業により取得した温室効果ガス排出削減効果について</w:t>
            </w:r>
            <w:r>
              <w:rPr>
                <w:rFonts w:hint="default" w:ascii="ＭＳ 明朝" w:hAnsi="ＭＳ 明朝" w:eastAsia="ＭＳ 明朝"/>
                <w:snapToGrid w:val="0"/>
                <w:color w:val="auto"/>
                <w:spacing w:val="5"/>
                <w:kern w:val="0"/>
                <w:sz w:val="24"/>
                <w:highlight w:val="none"/>
              </w:rPr>
              <w:t>J-</w:t>
            </w:r>
            <w:r>
              <w:rPr>
                <w:rFonts w:hint="default" w:ascii="ＭＳ 明朝" w:hAnsi="ＭＳ 明朝" w:eastAsia="ＭＳ 明朝"/>
                <w:snapToGrid w:val="0"/>
                <w:color w:val="auto"/>
                <w:spacing w:val="5"/>
                <w:kern w:val="0"/>
                <w:sz w:val="24"/>
                <w:highlight w:val="none"/>
              </w:rPr>
              <w:t>クレジット制度への登録を行</w:t>
            </w:r>
            <w:r>
              <w:rPr>
                <w:rFonts w:hint="default" w:ascii="ＭＳ 明朝" w:hAnsi="ＭＳ 明朝" w:eastAsia="ＭＳ 明朝"/>
                <w:strike w:val="0"/>
                <w:dstrike w:val="0"/>
                <w:snapToGrid w:val="0"/>
                <w:color w:val="auto"/>
                <w:spacing w:val="5"/>
                <w:kern w:val="0"/>
                <w:sz w:val="24"/>
                <w:highlight w:val="none"/>
              </w:rPr>
              <w:t>わ</w:t>
            </w:r>
            <w:r>
              <w:rPr>
                <w:rFonts w:hint="default" w:ascii="ＭＳ 明朝" w:hAnsi="ＭＳ 明朝" w:eastAsia="ＭＳ 明朝"/>
                <w:snapToGrid w:val="0"/>
                <w:color w:val="auto"/>
                <w:spacing w:val="5"/>
                <w:kern w:val="0"/>
                <w:sz w:val="24"/>
                <w:highlight w:val="none"/>
              </w:rPr>
              <w:t>ないこと。</w:t>
            </w:r>
          </w:p>
        </w:tc>
      </w:tr>
    </w:tbl>
    <w:p>
      <w:pPr>
        <w:pStyle w:val="0"/>
        <w:rPr>
          <w:rFonts w:hint="default"/>
          <w:snapToGrid w:val="0"/>
          <w:color w:val="auto"/>
          <w:kern w:val="0"/>
          <w:sz w:val="24"/>
          <w:highlight w:val="none"/>
          <w:shd w:val="clear" w:color="auto" w:themeFill="background1" w:themeFillTint="FF" w:themeFillShade="FF"/>
        </w:rPr>
      </w:pPr>
    </w:p>
    <w:sectPr>
      <w:pgSz w:w="11906" w:h="16838"/>
      <w:pgMar w:top="1134" w:right="964" w:bottom="964" w:left="1417" w:header="851" w:footer="284" w:gutter="0"/>
      <w:cols w:space="720"/>
      <w:textDirection w:val="lrTb"/>
      <w:docGrid w:type="linesAndChars" w:linePitch="421" w:charSpace="573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237"/>
  <w:drawingGridVertic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spacing w:after="100" w:afterLines="0" w:afterAutospacing="1"/>
    </w:pPr>
  </w:style>
  <w:style w:type="character" w:styleId="16" w:customStyle="1">
    <w:name w:val="ヘッダー (文字)"/>
    <w:basedOn w:val="10"/>
    <w:next w:val="16"/>
    <w:link w:val="15"/>
    <w:uiPriority w:val="0"/>
  </w:style>
  <w:style w:type="paragraph" w:styleId="17">
    <w:name w:val="footer"/>
    <w:basedOn w:val="0"/>
    <w:next w:val="17"/>
    <w:link w:val="18"/>
    <w:uiPriority w:val="0"/>
    <w:pPr>
      <w:widowControl w:val="1"/>
      <w:tabs>
        <w:tab w:val="center" w:leader="none" w:pos="4252"/>
        <w:tab w:val="right" w:leader="none" w:pos="8504"/>
      </w:tabs>
      <w:snapToGrid w:val="0"/>
      <w:spacing w:after="100" w:afterLines="0" w:afterAutospacing="1"/>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sz w:val="18"/>
    </w:rPr>
  </w:style>
  <w:style w:type="character" w:styleId="25">
    <w:name w:val="annotation reference"/>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next w:val="27"/>
    <w:link w:val="26"/>
    <w:uiPriority w:val="0"/>
    <w:rPr>
      <w:kern w:val="2"/>
      <w:sz w:val="21"/>
    </w:rPr>
  </w:style>
  <w:style w:type="paragraph" w:styleId="28">
    <w:name w:val="annotation subject"/>
    <w:basedOn w:val="26"/>
    <w:next w:val="26"/>
    <w:link w:val="29"/>
    <w:uiPriority w:val="0"/>
    <w:semiHidden/>
    <w:rPr>
      <w:b w:val="1"/>
    </w:rPr>
  </w:style>
  <w:style w:type="character" w:styleId="29" w:customStyle="1">
    <w:name w:val="コメント内容 (文字)"/>
    <w:next w:val="29"/>
    <w:link w:val="28"/>
    <w:uiPriority w:val="0"/>
    <w:rPr>
      <w:b w:val="1"/>
      <w:kern w:val="2"/>
      <w:sz w:val="21"/>
    </w:rPr>
  </w:style>
  <w:style w:type="paragraph" w:styleId="30">
    <w:name w:val="Revision"/>
    <w:next w:val="30"/>
    <w:link w:val="0"/>
    <w:uiPriority w:val="0"/>
    <w:rPr>
      <w:kern w:val="2"/>
      <w:sz w:val="21"/>
    </w:rPr>
  </w:style>
  <w:style w:type="paragraph" w:styleId="31">
    <w:name w:val="caption"/>
    <w:basedOn w:val="0"/>
    <w:next w:val="33"/>
    <w:link w:val="32"/>
    <w:uiPriority w:val="0"/>
    <w:semiHidden/>
    <w:qFormat/>
    <w:pPr>
      <w:keepNext w:val="1"/>
      <w:keepLines w:val="1"/>
      <w:widowControl w:val="1"/>
      <w:spacing w:before="205" w:beforeLines="50" w:beforeAutospacing="0" w:after="205" w:afterLines="50" w:afterAutospacing="0"/>
      <w:contextualSpacing w:val="1"/>
      <w:jc w:val="center"/>
    </w:pPr>
    <w:rPr>
      <w:rFonts w:ascii="Arial" w:hAnsi="Arial" w:eastAsia="ＭＳ ゴシック"/>
    </w:rPr>
  </w:style>
  <w:style w:type="character" w:styleId="32" w:customStyle="1">
    <w:name w:val="図表番号 (文字)"/>
    <w:next w:val="32"/>
    <w:link w:val="31"/>
    <w:uiPriority w:val="0"/>
    <w:rPr>
      <w:rFonts w:ascii="Arial" w:hAnsi="Arial" w:eastAsia="ＭＳ ゴシック"/>
      <w:kern w:val="2"/>
      <w:sz w:val="21"/>
    </w:rPr>
  </w:style>
  <w:style w:type="paragraph" w:styleId="33">
    <w:name w:val="Body Text"/>
    <w:basedOn w:val="0"/>
    <w:next w:val="33"/>
    <w:link w:val="34"/>
    <w:uiPriority w:val="0"/>
  </w:style>
  <w:style w:type="character" w:styleId="34" w:customStyle="1">
    <w:name w:val="本文 (文字)"/>
    <w:next w:val="34"/>
    <w:link w:val="33"/>
    <w:uiPriority w:val="0"/>
    <w:rPr>
      <w:kern w:val="2"/>
      <w:sz w:val="21"/>
    </w:rPr>
  </w:style>
  <w:style w:type="paragraph" w:styleId="35">
    <w:name w:val="List Paragraph"/>
    <w:basedOn w:val="0"/>
    <w:next w:val="35"/>
    <w:link w:val="0"/>
    <w:uiPriority w:val="0"/>
    <w:qFormat/>
    <w:pPr>
      <w:ind w:left="840" w:leftChars="400"/>
    </w:pPr>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paragraph" w:styleId="38">
    <w:name w:val="footnote text"/>
    <w:basedOn w:val="0"/>
    <w:next w:val="38"/>
    <w:link w:val="39"/>
    <w:uiPriority w:val="0"/>
    <w:semiHidden/>
    <w:pPr>
      <w:snapToGrid w:val="0"/>
      <w:jc w:val="left"/>
    </w:pPr>
  </w:style>
  <w:style w:type="character" w:styleId="39" w:customStyle="1">
    <w:name w:val="脚注文字列 (文字)"/>
    <w:basedOn w:val="10"/>
    <w:next w:val="39"/>
    <w:link w:val="38"/>
    <w:uiPriority w:val="0"/>
  </w:style>
  <w:style w:type="table" w:styleId="40">
    <w:name w:val="Table Grid"/>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1967</TotalTime>
  <Pages>3</Pages>
  <Words>34</Words>
  <Characters>2565</Characters>
  <Application>JUST Note</Application>
  <Lines>130</Lines>
  <Paragraphs>79</Paragraphs>
  <CharactersWithSpaces>2600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2025-09-25T07:45:37Z</cp:lastPrinted>
  <dcterms:created xsi:type="dcterms:W3CDTF">2024-04-01T06:08:00Z</dcterms:created>
  <dcterms:modified xsi:type="dcterms:W3CDTF">2025-09-29T06:00:50Z</dcterms:modified>
  <cp:revision>19</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0x01010060ABA4F1B5428A45BA756470C4A01D69</vt:lpwstr>
  </property>
</Properties>
</file>